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15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color w:val="231F20"/>
          <w:sz w:val="32"/>
        </w:rPr>
        <w:t>Attachment</w:t>
      </w:r>
      <w:r>
        <w:rPr>
          <w:rFonts w:ascii="Calibri Light"/>
          <w:b w:val="0"/>
          <w:color w:val="231F20"/>
          <w:spacing w:val="-12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4-A:</w:t>
      </w:r>
      <w:r>
        <w:rPr>
          <w:rFonts w:ascii="Calibri Light"/>
          <w:b w:val="0"/>
          <w:color w:val="231F20"/>
          <w:spacing w:val="-11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Questions</w:t>
      </w:r>
      <w:r>
        <w:rPr>
          <w:rFonts w:ascii="Calibri Light"/>
          <w:b w:val="0"/>
          <w:color w:val="231F20"/>
          <w:spacing w:val="-11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to</w:t>
      </w:r>
      <w:r>
        <w:rPr>
          <w:rFonts w:ascii="Calibri Light"/>
          <w:b w:val="0"/>
          <w:color w:val="231F20"/>
          <w:spacing w:val="-12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Ask</w:t>
      </w:r>
      <w:r>
        <w:rPr>
          <w:rFonts w:ascii="Calibri Light"/>
          <w:b w:val="0"/>
          <w:color w:val="231F20"/>
          <w:spacing w:val="-11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a</w:t>
      </w:r>
      <w:r>
        <w:rPr>
          <w:rFonts w:ascii="Calibri Light"/>
          <w:b w:val="0"/>
          <w:color w:val="231F20"/>
          <w:spacing w:val="-12"/>
          <w:sz w:val="32"/>
        </w:rPr>
        <w:t> </w:t>
      </w:r>
      <w:r>
        <w:rPr>
          <w:rFonts w:ascii="Calibri Light"/>
          <w:b w:val="0"/>
          <w:color w:val="231F20"/>
          <w:spacing w:val="-2"/>
          <w:sz w:val="32"/>
        </w:rPr>
        <w:t>Laboratory</w:t>
      </w:r>
    </w:p>
    <w:p>
      <w:pPr>
        <w:pStyle w:val="BodyText"/>
        <w:spacing w:line="240" w:lineRule="auto"/>
        <w:rPr>
          <w:b w:val="0"/>
          <w:sz w:val="20"/>
        </w:rPr>
      </w:pPr>
    </w:p>
    <w:p>
      <w:pPr>
        <w:pStyle w:val="BodyText"/>
        <w:spacing w:line="240" w:lineRule="auto" w:before="76" w:after="1"/>
        <w:rPr>
          <w:b w:val="0"/>
          <w:sz w:val="20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5"/>
        <w:gridCol w:w="4995"/>
      </w:tblGrid>
      <w:tr>
        <w:trPr>
          <w:trHeight w:val="865" w:hRule="atLeast"/>
        </w:trPr>
        <w:tc>
          <w:tcPr>
            <w:tcW w:w="4995" w:type="dxa"/>
            <w:shd w:val="clear" w:color="auto" w:fill="C9CDD1"/>
          </w:tcPr>
          <w:p>
            <w:pPr>
              <w:pStyle w:val="TableParagraph"/>
              <w:spacing w:before="36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Question</w:t>
            </w:r>
          </w:p>
        </w:tc>
        <w:tc>
          <w:tcPr>
            <w:tcW w:w="4995" w:type="dxa"/>
            <w:shd w:val="clear" w:color="auto" w:fill="C9CDD1"/>
          </w:tcPr>
          <w:p>
            <w:pPr>
              <w:pStyle w:val="TableParagraph"/>
              <w:spacing w:before="36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992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Question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Background</w:t>
            </w:r>
            <w:r>
              <w:rPr>
                <w:b/>
                <w:color w:val="231F20"/>
                <w:spacing w:val="-7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1877" w:hRule="atLeast"/>
        </w:trPr>
        <w:tc>
          <w:tcPr>
            <w:tcW w:w="4995" w:type="dxa"/>
          </w:tcPr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305"/>
              <w:rPr>
                <w:sz w:val="22"/>
              </w:rPr>
            </w:pP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laboratory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recognized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NLLAP?</w:t>
            </w:r>
          </w:p>
        </w:tc>
        <w:tc>
          <w:tcPr>
            <w:tcW w:w="4995" w:type="dxa"/>
          </w:tcPr>
          <w:p>
            <w:pPr>
              <w:pStyle w:val="TableParagraph"/>
              <w:spacing w:line="232" w:lineRule="auto" w:before="168"/>
              <w:ind w:left="306" w:right="220"/>
              <w:rPr>
                <w:sz w:val="22"/>
              </w:rPr>
            </w:pPr>
            <w:r>
              <w:rPr>
                <w:color w:val="231F20"/>
                <w:sz w:val="22"/>
              </w:rPr>
              <w:t>All samples must be analyzed by an NLLAP laboratory. You can contact the NLIC Clearinghouse at 1-800-424-5323 for an up-to-date list of NLLAP-recognized laboratories. Even after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selecting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laboratory,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you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should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check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the laboratory’s accreditation every 6 months.</w:t>
            </w:r>
          </w:p>
        </w:tc>
      </w:tr>
      <w:tr>
        <w:trPr>
          <w:trHeight w:val="1617" w:hRule="atLeast"/>
        </w:trPr>
        <w:tc>
          <w:tcPr>
            <w:tcW w:w="4995" w:type="dxa"/>
          </w:tcPr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305"/>
              <w:rPr>
                <w:sz w:val="22"/>
              </w:rPr>
            </w:pPr>
            <w:r>
              <w:rPr>
                <w:color w:val="231F20"/>
                <w:sz w:val="22"/>
              </w:rPr>
              <w:t>What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turnaround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time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sample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analysis?</w:t>
            </w:r>
          </w:p>
        </w:tc>
        <w:tc>
          <w:tcPr>
            <w:tcW w:w="4995" w:type="dxa"/>
          </w:tcPr>
          <w:p>
            <w:pPr>
              <w:pStyle w:val="TableParagraph"/>
              <w:spacing w:line="232" w:lineRule="auto" w:before="168"/>
              <w:ind w:left="306" w:right="220"/>
              <w:rPr>
                <w:sz w:val="22"/>
              </w:rPr>
            </w:pPr>
            <w:r>
              <w:rPr>
                <w:color w:val="231F20"/>
                <w:sz w:val="22"/>
              </w:rPr>
              <w:t>The laboratory turnaround time is an important factor; labs usually provide results within 1 to 3 days. A faster turnaround time allows you to be more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responsive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your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client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but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may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cost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more </w:t>
            </w:r>
            <w:r>
              <w:rPr>
                <w:color w:val="231F20"/>
                <w:spacing w:val="-2"/>
                <w:sz w:val="22"/>
              </w:rPr>
              <w:t>money.</w:t>
            </w:r>
          </w:p>
        </w:tc>
      </w:tr>
      <w:tr>
        <w:trPr>
          <w:trHeight w:val="1096" w:hRule="atLeast"/>
        </w:trPr>
        <w:tc>
          <w:tcPr>
            <w:tcW w:w="4995" w:type="dxa"/>
          </w:tcPr>
          <w:p>
            <w:pPr>
              <w:pStyle w:val="TableParagraph"/>
              <w:spacing w:before="152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305"/>
              <w:rPr>
                <w:sz w:val="22"/>
              </w:rPr>
            </w:pPr>
            <w:r>
              <w:rPr>
                <w:color w:val="231F20"/>
                <w:sz w:val="22"/>
              </w:rPr>
              <w:t>What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cost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per</w:t>
            </w:r>
            <w:r>
              <w:rPr>
                <w:color w:val="231F20"/>
                <w:spacing w:val="-2"/>
                <w:sz w:val="22"/>
              </w:rPr>
              <w:t> sample?</w:t>
            </w:r>
          </w:p>
        </w:tc>
        <w:tc>
          <w:tcPr>
            <w:tcW w:w="4995" w:type="dxa"/>
          </w:tcPr>
          <w:p>
            <w:pPr>
              <w:pStyle w:val="TableParagraph"/>
              <w:spacing w:line="232" w:lineRule="auto" w:before="168"/>
              <w:ind w:left="306" w:right="220"/>
              <w:rPr>
                <w:sz w:val="22"/>
              </w:rPr>
            </w:pPr>
            <w:r>
              <w:rPr>
                <w:color w:val="231F20"/>
                <w:sz w:val="22"/>
              </w:rPr>
              <w:t>Prices can vary depending on how quickly you want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results.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6-hour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turnaround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will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cost more than samples analyzed over a few days.</w:t>
            </w:r>
          </w:p>
        </w:tc>
      </w:tr>
      <w:tr>
        <w:trPr>
          <w:trHeight w:val="1877" w:hRule="atLeast"/>
        </w:trPr>
        <w:tc>
          <w:tcPr>
            <w:tcW w:w="4995" w:type="dxa"/>
          </w:tcPr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305"/>
              <w:rPr>
                <w:sz w:val="22"/>
              </w:rPr>
            </w:pPr>
            <w:r>
              <w:rPr>
                <w:color w:val="231F20"/>
                <w:sz w:val="22"/>
              </w:rPr>
              <w:t>Will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laboratory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provide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sampling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materials?</w:t>
            </w:r>
          </w:p>
        </w:tc>
        <w:tc>
          <w:tcPr>
            <w:tcW w:w="4995" w:type="dxa"/>
          </w:tcPr>
          <w:p>
            <w:pPr>
              <w:pStyle w:val="TableParagraph"/>
              <w:spacing w:line="232" w:lineRule="auto" w:before="168"/>
              <w:ind w:left="306" w:right="220"/>
              <w:rPr>
                <w:sz w:val="22"/>
              </w:rPr>
            </w:pPr>
            <w:r>
              <w:rPr>
                <w:color w:val="231F20"/>
                <w:sz w:val="22"/>
              </w:rPr>
              <w:t>Some laboratories will provide you with the materials necessary to perform sampling. You may want to select a laboratory that provides these materials because laboratory-supplied materials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forms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help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minimize</w:t>
            </w:r>
            <w:r>
              <w:rPr>
                <w:color w:val="231F20"/>
                <w:spacing w:val="-10"/>
                <w:sz w:val="22"/>
              </w:rPr>
              <w:t> </w:t>
            </w:r>
            <w:r>
              <w:rPr>
                <w:color w:val="231F20"/>
                <w:sz w:val="22"/>
              </w:rPr>
              <w:t>potential errors in the analysis and recordkeeping.</w:t>
            </w:r>
          </w:p>
        </w:tc>
      </w:tr>
      <w:tr>
        <w:trPr>
          <w:trHeight w:val="1617" w:hRule="atLeast"/>
        </w:trPr>
        <w:tc>
          <w:tcPr>
            <w:tcW w:w="4995" w:type="dxa"/>
          </w:tcPr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44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ind w:left="305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laboratory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analyze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composite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samples?</w:t>
            </w:r>
          </w:p>
        </w:tc>
        <w:tc>
          <w:tcPr>
            <w:tcW w:w="4995" w:type="dxa"/>
          </w:tcPr>
          <w:p>
            <w:pPr>
              <w:pStyle w:val="TableParagraph"/>
              <w:spacing w:line="232" w:lineRule="auto" w:before="168"/>
              <w:ind w:left="306" w:right="220"/>
              <w:rPr>
                <w:sz w:val="22"/>
              </w:rPr>
            </w:pPr>
            <w:r>
              <w:rPr>
                <w:color w:val="231F20"/>
                <w:sz w:val="22"/>
              </w:rPr>
              <w:t>It is good practice to check in advance the laboratory’s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capabilities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13"/>
                <w:sz w:val="22"/>
              </w:rPr>
              <w:t> </w:t>
            </w:r>
            <w:r>
              <w:rPr>
                <w:color w:val="231F20"/>
                <w:sz w:val="22"/>
              </w:rPr>
              <w:t>analyzing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composite samples, if your client wants you to collect composite samples. Some laboratories do not offer this service.</w:t>
            </w:r>
          </w:p>
        </w:tc>
      </w:tr>
      <w:tr>
        <w:trPr>
          <w:trHeight w:val="2136" w:hRule="atLeast"/>
        </w:trPr>
        <w:tc>
          <w:tcPr>
            <w:tcW w:w="4995" w:type="dxa"/>
          </w:tcPr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2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line="232" w:lineRule="auto"/>
              <w:ind w:left="305"/>
              <w:rPr>
                <w:sz w:val="22"/>
              </w:rPr>
            </w:pPr>
            <w:r>
              <w:rPr>
                <w:color w:val="231F20"/>
                <w:sz w:val="22"/>
              </w:rPr>
              <w:t>Does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laboratory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perform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all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necessary mathematical calculations?</w:t>
            </w:r>
          </w:p>
        </w:tc>
        <w:tc>
          <w:tcPr>
            <w:tcW w:w="4995" w:type="dxa"/>
          </w:tcPr>
          <w:p>
            <w:pPr>
              <w:pStyle w:val="TableParagraph"/>
              <w:spacing w:line="232" w:lineRule="auto" w:before="168"/>
              <w:ind w:left="306" w:right="380"/>
              <w:rPr>
                <w:sz w:val="22"/>
              </w:rPr>
            </w:pPr>
            <w:r>
              <w:rPr>
                <w:color w:val="231F20"/>
                <w:sz w:val="22"/>
              </w:rPr>
              <w:t>The federal guidance is provided in µg/ft². Depending on the size of the sample or sample area,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some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mathematical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calculations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may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need to be performed to convert the sample area to</w:t>
            </w:r>
            <w:r>
              <w:rPr>
                <w:color w:val="231F20"/>
                <w:sz w:val="22"/>
              </w:rPr>
              <w:t> 1 square foot. Selecting a laboratory that will perform this calculation for you can reduce the possibility of mathematical errors.</w:t>
            </w:r>
          </w:p>
        </w:tc>
      </w:tr>
    </w:tbl>
    <w:sectPr>
      <w:footerReference w:type="default" r:id="rId5"/>
      <w:type w:val="continuous"/>
      <w:pgSz w:w="12240" w:h="15840"/>
      <w:pgMar w:header="0" w:footer="471" w:top="640" w:bottom="660" w:left="1080" w:right="72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128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ind w:left="20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  <w:color w:val="808285"/>
                            </w:rPr>
                            <w:t>Lead</w:t>
                          </w: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</w:rPr>
                            <w:t>Dust</w:t>
                          </w:r>
                          <w:r>
                            <w:rPr>
                              <w:b w:val="0"/>
                              <w:color w:val="808285"/>
                              <w:spacing w:val="-4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</w:rPr>
                            <w:t>Sampling</w:t>
                          </w: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</w:rPr>
                            <w:t>Technician</w:t>
                          </w:r>
                          <w:r>
                            <w:rPr>
                              <w:b w:val="0"/>
                              <w:color w:val="808285"/>
                              <w:spacing w:val="-4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pt;margin-top:757.441589pt;width:118.35pt;height:10pt;mso-position-horizontal-relative:page;mso-position-vertical-relative:page;z-index:-15780352" type="#_x0000_t202" id="docshape1" filled="false" stroked="false">
              <v:textbox inset="0,0,0,0">
                <w:txbxContent>
                  <w:p>
                    <w:pPr>
                      <w:pStyle w:val="BodyText"/>
                      <w:ind w:left="20"/>
                      <w:rPr>
                        <w:b w:val="0"/>
                      </w:rPr>
                    </w:pPr>
                    <w:r>
                      <w:rPr>
                        <w:b w:val="0"/>
                        <w:color w:val="808285"/>
                      </w:rPr>
                      <w:t>Lead</w:t>
                    </w:r>
                    <w:r>
                      <w:rPr>
                        <w:b w:val="0"/>
                        <w:color w:val="808285"/>
                        <w:spacing w:val="-5"/>
                      </w:rPr>
                      <w:t> </w:t>
                    </w:r>
                    <w:r>
                      <w:rPr>
                        <w:b w:val="0"/>
                        <w:color w:val="808285"/>
                      </w:rPr>
                      <w:t>Dust</w:t>
                    </w:r>
                    <w:r>
                      <w:rPr>
                        <w:b w:val="0"/>
                        <w:color w:val="808285"/>
                        <w:spacing w:val="-4"/>
                      </w:rPr>
                      <w:t> </w:t>
                    </w:r>
                    <w:r>
                      <w:rPr>
                        <w:b w:val="0"/>
                        <w:color w:val="808285"/>
                      </w:rPr>
                      <w:t>Sampling</w:t>
                    </w:r>
                    <w:r>
                      <w:rPr>
                        <w:b w:val="0"/>
                        <w:color w:val="808285"/>
                        <w:spacing w:val="-5"/>
                      </w:rPr>
                      <w:t> </w:t>
                    </w:r>
                    <w:r>
                      <w:rPr>
                        <w:b w:val="0"/>
                        <w:color w:val="808285"/>
                      </w:rPr>
                      <w:t>Technician</w:t>
                    </w:r>
                    <w:r>
                      <w:rPr>
                        <w:b w:val="0"/>
                        <w:color w:val="808285"/>
                        <w:spacing w:val="-4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640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ind w:left="20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  <w:color w:val="808285"/>
                            </w:rPr>
                            <w:t>Chapter</w:t>
                          </w: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9.677307pt;margin-top:757.441589pt;width:33.5pt;height:10pt;mso-position-horizontal-relative:page;mso-position-vertical-relative:page;z-index:-15779840" type="#_x0000_t202" id="docshape2" filled="false" stroked="false">
              <v:textbox inset="0,0,0,0">
                <w:txbxContent>
                  <w:p>
                    <w:pPr>
                      <w:pStyle w:val="BodyText"/>
                      <w:ind w:left="20"/>
                      <w:rPr>
                        <w:b w:val="0"/>
                      </w:rPr>
                    </w:pPr>
                    <w:r>
                      <w:rPr>
                        <w:b w:val="0"/>
                        <w:color w:val="808285"/>
                      </w:rPr>
                      <w:t>Chapter</w:t>
                    </w:r>
                    <w:r>
                      <w:rPr>
                        <w:b w:val="0"/>
                        <w:color w:val="808285"/>
                        <w:spacing w:val="-5"/>
                      </w:rPr>
                      <w:t> </w:t>
                    </w:r>
                    <w:r>
                      <w:rPr>
                        <w:b w:val="0"/>
                        <w:color w:val="808285"/>
                        <w:spacing w:val="-10"/>
                      </w:rPr>
                      <w:t>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7152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ind w:left="20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123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9.599976pt;margin-top:758.401611pt;width:14.2pt;height:10pt;mso-position-horizontal-relative:page;mso-position-vertical-relative:page;z-index:-15779328" type="#_x0000_t202" id="docshape3" filled="false" stroked="false">
              <v:textbox inset="0,0,0,0">
                <w:txbxContent>
                  <w:p>
                    <w:pPr>
                      <w:pStyle w:val="BodyText"/>
                      <w:ind w:left="20"/>
                      <w:rPr>
                        <w:b w:val="0"/>
                      </w:rPr>
                    </w:pPr>
                    <w:r>
                      <w:rPr>
                        <w:b w:val="0"/>
                        <w:color w:val="808285"/>
                        <w:spacing w:val="-5"/>
                      </w:rPr>
                      <w:t>123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line="183" w:lineRule="exact"/>
    </w:pPr>
    <w:rPr>
      <w:rFonts w:ascii="Calibri Light" w:hAnsi="Calibri Light" w:eastAsia="Calibri Light" w:cs="Calibri Light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or xmlns="4ffa91fb-a0ff-4ac5-b2db-65c790d184a4">
      <UserInfo>
        <DisplayName/>
        <AccountId>Adobe InDesign 21.2 (Windows)</AccountId>
        <AccountType/>
      </UserInfo>
    </Creator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2026-02-25T20:40:28+00:00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29F37-486E-49C3-888C-55D3AF4C1B46}"/>
</file>

<file path=customXml/itemProps2.xml><?xml version="1.0" encoding="utf-8"?>
<ds:datastoreItem xmlns:ds="http://schemas.openxmlformats.org/officeDocument/2006/customXml" ds:itemID="{40C3DF8B-E3DF-4519-B266-38F7EC7A8657}"/>
</file>

<file path=customXml/itemProps3.xml><?xml version="1.0" encoding="utf-8"?>
<ds:datastoreItem xmlns:ds="http://schemas.openxmlformats.org/officeDocument/2006/customXml" ds:itemID="{53C667A8-F8D4-4738-84DA-044AC92A8E4C}"/>
</file>

<file path=customXml/itemProps4.xml><?xml version="1.0" encoding="utf-8"?>
<ds:datastoreItem xmlns:ds="http://schemas.openxmlformats.org/officeDocument/2006/customXml" ds:itemID="{965C566B-5629-4709-9CB4-8D7D56398A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Dust Sampling Technican Initial Model Training Course Instructor Manual</dc:title>
  <dc:subject>Instructor Manual for the Model Lead Dust Sampling Technicain Initial Training Course</dc:subject>
  <dc:creator>United States Environmental Protection Agency</dc:creator>
  <dcterms:created xsi:type="dcterms:W3CDTF">2026-02-25T20:37:51Z</dcterms:created>
  <dcterms:modified xsi:type="dcterms:W3CDTF">2026-02-25T20:37:51Z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0x01010046E555EE6AEA6F4E90DC1EE56A20DF84</vt:lpwstr>
  </property>
  <property fmtid="{D5CDD505-2E9C-101B-9397-08002B2CF9AE}" pid="7" name="TaxKeyword">
    <vt:lpwstr/>
  </property>
  <property fmtid="{D5CDD505-2E9C-101B-9397-08002B2CF9AE}" pid="8" name="Document_x0020_Type">
    <vt:lpwstr/>
  </property>
  <property fmtid="{D5CDD505-2E9C-101B-9397-08002B2CF9AE}" pid="9" name="Document Type">
    <vt:lpwstr/>
  </property>
</Properties>
</file>